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01" w:rsidRPr="00E17374" w:rsidRDefault="00E81CD0" w:rsidP="00E81C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374">
        <w:rPr>
          <w:rFonts w:ascii="Times New Roman" w:hAnsi="Times New Roman" w:cs="Times New Roman"/>
          <w:b/>
          <w:sz w:val="28"/>
          <w:szCs w:val="28"/>
        </w:rPr>
        <w:t>СПИСОК ВОПРОСОВ</w:t>
      </w:r>
    </w:p>
    <w:p w:rsidR="00E81CD0" w:rsidRPr="00E81CD0" w:rsidRDefault="00E81CD0" w:rsidP="00E81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CD0">
        <w:rPr>
          <w:rFonts w:ascii="Times New Roman" w:hAnsi="Times New Roman" w:cs="Times New Roman"/>
          <w:sz w:val="28"/>
          <w:szCs w:val="28"/>
        </w:rPr>
        <w:t xml:space="preserve">к зачету по </w:t>
      </w:r>
      <w:r w:rsidR="00913E46">
        <w:rPr>
          <w:rFonts w:ascii="Times New Roman" w:hAnsi="Times New Roman" w:cs="Times New Roman"/>
          <w:sz w:val="28"/>
          <w:szCs w:val="28"/>
        </w:rPr>
        <w:t xml:space="preserve">элективному </w:t>
      </w:r>
      <w:r w:rsidRPr="00E81CD0">
        <w:rPr>
          <w:rFonts w:ascii="Times New Roman" w:hAnsi="Times New Roman" w:cs="Times New Roman"/>
          <w:sz w:val="28"/>
          <w:szCs w:val="28"/>
        </w:rPr>
        <w:t>курсу</w:t>
      </w:r>
    </w:p>
    <w:p w:rsidR="00E81CD0" w:rsidRPr="00E81CD0" w:rsidRDefault="00E81CD0" w:rsidP="00E81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CD0">
        <w:rPr>
          <w:rFonts w:ascii="Times New Roman" w:hAnsi="Times New Roman" w:cs="Times New Roman"/>
          <w:sz w:val="28"/>
          <w:szCs w:val="28"/>
        </w:rPr>
        <w:t>«</w:t>
      </w:r>
      <w:r w:rsidRPr="00E17374">
        <w:rPr>
          <w:rFonts w:ascii="Times New Roman" w:hAnsi="Times New Roman" w:cs="Times New Roman"/>
          <w:b/>
          <w:sz w:val="28"/>
          <w:szCs w:val="28"/>
        </w:rPr>
        <w:t>Герменевтика и феноменологическая критика</w:t>
      </w:r>
      <w:r w:rsidRPr="00E81CD0">
        <w:rPr>
          <w:rFonts w:ascii="Times New Roman" w:hAnsi="Times New Roman" w:cs="Times New Roman"/>
          <w:sz w:val="28"/>
          <w:szCs w:val="28"/>
        </w:rPr>
        <w:t>»</w:t>
      </w:r>
    </w:p>
    <w:p w:rsidR="00E81CD0" w:rsidRDefault="00E81CD0" w:rsidP="00E81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CD0">
        <w:rPr>
          <w:rFonts w:ascii="Times New Roman" w:hAnsi="Times New Roman" w:cs="Times New Roman"/>
          <w:sz w:val="28"/>
          <w:szCs w:val="28"/>
        </w:rPr>
        <w:t>(2 курс магистратуры «</w:t>
      </w:r>
      <w:r w:rsidRPr="00E17374">
        <w:rPr>
          <w:rFonts w:ascii="Times New Roman" w:hAnsi="Times New Roman" w:cs="Times New Roman"/>
          <w:b/>
          <w:sz w:val="28"/>
          <w:szCs w:val="28"/>
        </w:rPr>
        <w:t>Английский язык и литература англоязычных стран</w:t>
      </w:r>
      <w:r w:rsidRPr="00E81CD0">
        <w:rPr>
          <w:rFonts w:ascii="Times New Roman" w:hAnsi="Times New Roman" w:cs="Times New Roman"/>
          <w:sz w:val="28"/>
          <w:szCs w:val="28"/>
        </w:rPr>
        <w:t>»)</w:t>
      </w:r>
    </w:p>
    <w:p w:rsidR="00E81CD0" w:rsidRDefault="00E81CD0" w:rsidP="00E81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817"/>
        <w:gridCol w:w="9214"/>
      </w:tblGrid>
      <w:tr w:rsidR="00E17374" w:rsidTr="00E17374">
        <w:tc>
          <w:tcPr>
            <w:tcW w:w="817" w:type="dxa"/>
            <w:vAlign w:val="center"/>
          </w:tcPr>
          <w:p w:rsidR="00E17374" w:rsidRPr="00E17374" w:rsidRDefault="00E17374" w:rsidP="00E1737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17374" w:rsidRPr="00E17374" w:rsidRDefault="00E17374" w:rsidP="00E17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74" w:rsidRPr="00E17374" w:rsidRDefault="00E17374" w:rsidP="00E17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74">
              <w:rPr>
                <w:rFonts w:ascii="Times New Roman" w:hAnsi="Times New Roman" w:cs="Times New Roman"/>
                <w:sz w:val="24"/>
                <w:szCs w:val="24"/>
              </w:rPr>
              <w:t>Герменевтика и поэтика. Французская литературная герменевтика (Ш.О. Сент-Бев).</w:t>
            </w:r>
          </w:p>
          <w:p w:rsidR="00E17374" w:rsidRPr="00E17374" w:rsidRDefault="00E17374" w:rsidP="00E17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374" w:rsidTr="00E17374">
        <w:tc>
          <w:tcPr>
            <w:tcW w:w="817" w:type="dxa"/>
            <w:vAlign w:val="center"/>
          </w:tcPr>
          <w:p w:rsidR="00E17374" w:rsidRPr="00E17374" w:rsidRDefault="00E17374" w:rsidP="00E1737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17374" w:rsidRPr="00E17374" w:rsidRDefault="00E17374" w:rsidP="00E17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74" w:rsidRPr="00E17374" w:rsidRDefault="00EF273B" w:rsidP="00E17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Герменевтика </w:t>
            </w:r>
            <w:r w:rsidR="00E17374" w:rsidRPr="00E17374">
              <w:rPr>
                <w:rFonts w:ascii="Times New Roman" w:hAnsi="Times New Roman" w:cs="Times New Roman"/>
                <w:sz w:val="24"/>
                <w:szCs w:val="24"/>
              </w:rPr>
              <w:t>Ф. Шлейермахер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7374" w:rsidRPr="00E17374">
              <w:rPr>
                <w:rFonts w:ascii="Times New Roman" w:hAnsi="Times New Roman" w:cs="Times New Roman"/>
                <w:sz w:val="24"/>
                <w:szCs w:val="24"/>
              </w:rPr>
              <w:t>. Немецкая герменевтика в полемике с культурно-историческая школой: В. Дильтей и концепция "наук о духе".</w:t>
            </w:r>
          </w:p>
          <w:p w:rsidR="00E17374" w:rsidRPr="00E17374" w:rsidRDefault="00E17374" w:rsidP="00E17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374" w:rsidTr="00E17374">
        <w:tc>
          <w:tcPr>
            <w:tcW w:w="817" w:type="dxa"/>
            <w:vAlign w:val="center"/>
          </w:tcPr>
          <w:p w:rsidR="00E17374" w:rsidRPr="00E17374" w:rsidRDefault="00E17374" w:rsidP="00E1737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17374" w:rsidRPr="00E17374" w:rsidRDefault="00E17374" w:rsidP="00E17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74" w:rsidRPr="00E17374" w:rsidRDefault="00E17374" w:rsidP="00E17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74">
              <w:rPr>
                <w:rFonts w:ascii="Times New Roman" w:hAnsi="Times New Roman" w:cs="Times New Roman"/>
                <w:sz w:val="24"/>
                <w:szCs w:val="24"/>
              </w:rPr>
              <w:t>Герменевтика на рубеже веков</w:t>
            </w:r>
            <w:r w:rsidR="00EE3D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17374">
              <w:rPr>
                <w:rFonts w:ascii="Times New Roman" w:hAnsi="Times New Roman" w:cs="Times New Roman"/>
                <w:sz w:val="24"/>
                <w:szCs w:val="24"/>
              </w:rPr>
              <w:t>марксизм</w:t>
            </w:r>
            <w:r w:rsidR="00EF2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7374" w:rsidRPr="00E17374" w:rsidRDefault="00E17374" w:rsidP="00E17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374" w:rsidTr="00E17374">
        <w:tc>
          <w:tcPr>
            <w:tcW w:w="817" w:type="dxa"/>
            <w:vAlign w:val="center"/>
          </w:tcPr>
          <w:p w:rsidR="00E17374" w:rsidRPr="00E17374" w:rsidRDefault="00E17374" w:rsidP="00E1737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17374" w:rsidRPr="00E17374" w:rsidRDefault="00E17374" w:rsidP="00E17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74" w:rsidRPr="00E17374" w:rsidRDefault="00E17374" w:rsidP="00E17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74">
              <w:rPr>
                <w:rFonts w:ascii="Times New Roman" w:hAnsi="Times New Roman" w:cs="Times New Roman"/>
                <w:sz w:val="24"/>
                <w:szCs w:val="24"/>
              </w:rPr>
              <w:t>Герменевтика на рубеже веков</w:t>
            </w:r>
            <w:r w:rsidR="00EE3D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E3D7E" w:rsidRPr="00E17374">
              <w:rPr>
                <w:rFonts w:ascii="Times New Roman" w:hAnsi="Times New Roman" w:cs="Times New Roman"/>
                <w:sz w:val="24"/>
                <w:szCs w:val="24"/>
              </w:rPr>
              <w:t>психоанализ</w:t>
            </w:r>
            <w:r w:rsidR="00EE3D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3D7E" w:rsidRPr="00E1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374">
              <w:rPr>
                <w:rFonts w:ascii="Times New Roman" w:hAnsi="Times New Roman" w:cs="Times New Roman"/>
                <w:sz w:val="24"/>
                <w:szCs w:val="24"/>
              </w:rPr>
              <w:t>юнгианская герменевтика</w:t>
            </w:r>
            <w:r w:rsidR="00EF2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7374" w:rsidRPr="00E17374" w:rsidRDefault="00E17374" w:rsidP="00E17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374" w:rsidTr="00EE3D7E">
        <w:trPr>
          <w:trHeight w:val="755"/>
        </w:trPr>
        <w:tc>
          <w:tcPr>
            <w:tcW w:w="817" w:type="dxa"/>
            <w:vAlign w:val="center"/>
          </w:tcPr>
          <w:p w:rsidR="00E17374" w:rsidRPr="00E17374" w:rsidRDefault="00E17374" w:rsidP="00E1737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3D7E" w:rsidRDefault="00EE3D7E" w:rsidP="00E17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74" w:rsidRPr="00E17374" w:rsidRDefault="00EE3D7E" w:rsidP="00E17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74">
              <w:rPr>
                <w:rFonts w:ascii="Times New Roman" w:hAnsi="Times New Roman" w:cs="Times New Roman"/>
                <w:sz w:val="24"/>
                <w:szCs w:val="24"/>
              </w:rPr>
              <w:t>Герменевтика на рубеже веков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17374">
              <w:rPr>
                <w:rFonts w:ascii="Times New Roman" w:hAnsi="Times New Roman" w:cs="Times New Roman"/>
                <w:sz w:val="24"/>
                <w:szCs w:val="24"/>
              </w:rPr>
              <w:t>мифокритика</w:t>
            </w:r>
            <w:r w:rsidR="00BD2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3D7E" w:rsidTr="00E17374">
        <w:tc>
          <w:tcPr>
            <w:tcW w:w="817" w:type="dxa"/>
            <w:vAlign w:val="center"/>
          </w:tcPr>
          <w:p w:rsidR="00EE3D7E" w:rsidRPr="00E17374" w:rsidRDefault="00EE3D7E" w:rsidP="00E1737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3D7E" w:rsidRPr="00E17374" w:rsidRDefault="00EE3D7E" w:rsidP="00DD4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D7E" w:rsidRPr="00E17374" w:rsidRDefault="00EE3D7E" w:rsidP="00DD4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74">
              <w:rPr>
                <w:rFonts w:ascii="Times New Roman" w:hAnsi="Times New Roman" w:cs="Times New Roman"/>
                <w:sz w:val="24"/>
                <w:szCs w:val="24"/>
              </w:rPr>
              <w:t>Герменевтика во второй половине XX века: М. Хайдеггер и Г.-Г. Гадамер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D7E" w:rsidRPr="00E17374" w:rsidRDefault="00EE3D7E" w:rsidP="00DD4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7E" w:rsidTr="00E17374">
        <w:tc>
          <w:tcPr>
            <w:tcW w:w="817" w:type="dxa"/>
            <w:vAlign w:val="center"/>
          </w:tcPr>
          <w:p w:rsidR="00EE3D7E" w:rsidRPr="00E17374" w:rsidRDefault="00EE3D7E" w:rsidP="00E1737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3D7E" w:rsidRPr="00E17374" w:rsidRDefault="00EE3D7E" w:rsidP="00DD4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D7E" w:rsidRPr="00E17374" w:rsidRDefault="00EE3D7E" w:rsidP="00DD4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74">
              <w:rPr>
                <w:rFonts w:ascii="Times New Roman" w:hAnsi="Times New Roman" w:cs="Times New Roman"/>
                <w:sz w:val="24"/>
                <w:szCs w:val="24"/>
              </w:rPr>
              <w:t>Постструктурализм: новый облик герменевтики (Барт, Лакан, Деррида, Кристева)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D7E" w:rsidRPr="00E17374" w:rsidRDefault="00EE3D7E" w:rsidP="00DD4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7E" w:rsidTr="00E17374">
        <w:tc>
          <w:tcPr>
            <w:tcW w:w="817" w:type="dxa"/>
            <w:vAlign w:val="center"/>
          </w:tcPr>
          <w:p w:rsidR="00EE3D7E" w:rsidRPr="00E17374" w:rsidRDefault="00EE3D7E" w:rsidP="00E1737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3D7E" w:rsidRPr="00E17374" w:rsidRDefault="00EE3D7E" w:rsidP="00DD4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D7E" w:rsidRPr="00E17374" w:rsidRDefault="00EE3D7E" w:rsidP="00DD4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74">
              <w:rPr>
                <w:rFonts w:ascii="Times New Roman" w:hAnsi="Times New Roman" w:cs="Times New Roman"/>
                <w:sz w:val="24"/>
                <w:szCs w:val="24"/>
              </w:rPr>
              <w:t>Феноменология и феноменологическая критика. Гуссерль, Ингарден.</w:t>
            </w:r>
          </w:p>
          <w:p w:rsidR="00EE3D7E" w:rsidRPr="00E17374" w:rsidRDefault="00EE3D7E" w:rsidP="00DD4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7E" w:rsidTr="00E17374">
        <w:tc>
          <w:tcPr>
            <w:tcW w:w="817" w:type="dxa"/>
            <w:vAlign w:val="center"/>
          </w:tcPr>
          <w:p w:rsidR="00EE3D7E" w:rsidRPr="00E17374" w:rsidRDefault="00EE3D7E" w:rsidP="00E1737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3D7E" w:rsidRPr="00E17374" w:rsidRDefault="00EE3D7E" w:rsidP="00DD4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D7E" w:rsidRPr="00E17374" w:rsidRDefault="00EE3D7E" w:rsidP="00DD4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74">
              <w:rPr>
                <w:rFonts w:ascii="Times New Roman" w:hAnsi="Times New Roman" w:cs="Times New Roman"/>
                <w:sz w:val="24"/>
                <w:szCs w:val="24"/>
              </w:rPr>
              <w:t>Феноменология в литературоведении: американская рецептивная критика, Констанцская школа.</w:t>
            </w:r>
          </w:p>
          <w:p w:rsidR="00EE3D7E" w:rsidRPr="00E17374" w:rsidRDefault="00EE3D7E" w:rsidP="00DD4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7E" w:rsidTr="00E17374">
        <w:tc>
          <w:tcPr>
            <w:tcW w:w="817" w:type="dxa"/>
            <w:vAlign w:val="center"/>
          </w:tcPr>
          <w:p w:rsidR="00EE3D7E" w:rsidRPr="00E17374" w:rsidRDefault="00EE3D7E" w:rsidP="00E1737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3D7E" w:rsidRDefault="00EE3D7E" w:rsidP="00DD4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D7E" w:rsidRPr="00E17374" w:rsidRDefault="00EE3D7E" w:rsidP="00DD4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74">
              <w:rPr>
                <w:rFonts w:ascii="Times New Roman" w:hAnsi="Times New Roman" w:cs="Times New Roman"/>
                <w:sz w:val="24"/>
                <w:szCs w:val="24"/>
              </w:rPr>
              <w:t>Феноменологическая герменевтика П. Рикера. Феноменология в полемике с постструктурализмом: антропологический поворот.</w:t>
            </w:r>
          </w:p>
          <w:p w:rsidR="00EE3D7E" w:rsidRPr="00E17374" w:rsidRDefault="00EE3D7E" w:rsidP="00DD4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CD0" w:rsidRPr="00E81CD0" w:rsidRDefault="00E81CD0" w:rsidP="00E1737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1CD0" w:rsidRPr="00E81CD0" w:rsidSect="00E173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A391E"/>
    <w:multiLevelType w:val="hybridMultilevel"/>
    <w:tmpl w:val="057E1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B047F"/>
    <w:multiLevelType w:val="hybridMultilevel"/>
    <w:tmpl w:val="72163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CD0"/>
    <w:rsid w:val="00553CC4"/>
    <w:rsid w:val="00913E46"/>
    <w:rsid w:val="00981A2C"/>
    <w:rsid w:val="00BD2AA3"/>
    <w:rsid w:val="00D966A3"/>
    <w:rsid w:val="00E17374"/>
    <w:rsid w:val="00E308D0"/>
    <w:rsid w:val="00E433C8"/>
    <w:rsid w:val="00E81CD0"/>
    <w:rsid w:val="00EE3D7E"/>
    <w:rsid w:val="00EF273B"/>
    <w:rsid w:val="00F8335C"/>
    <w:rsid w:val="00FE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7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Alexey</cp:lastModifiedBy>
  <cp:revision>3</cp:revision>
  <dcterms:created xsi:type="dcterms:W3CDTF">2024-11-13T08:27:00Z</dcterms:created>
  <dcterms:modified xsi:type="dcterms:W3CDTF">2024-11-13T09:08:00Z</dcterms:modified>
</cp:coreProperties>
</file>